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sz w:val="24"/>
          <w:lang w:val="en-US" w:eastAsia="zh-CN"/>
        </w:rPr>
      </w:pPr>
      <w:r>
        <w:rPr>
          <w:rFonts w:hint="eastAsia" w:ascii="Arial" w:hAnsi="Arial" w:cs="Arial"/>
          <w:b/>
          <w:sz w:val="24"/>
        </w:rPr>
        <w:t>3GPP TSG-RAN WG4 Meeting # 101-bis-e</w:t>
      </w:r>
      <w:r>
        <w:rPr>
          <w:rFonts w:ascii="Arial" w:hAnsi="Arial" w:eastAsia="MS Mincho"/>
          <w:b/>
          <w:sz w:val="24"/>
        </w:rPr>
        <w:tab/>
      </w:r>
      <w:r>
        <w:rPr>
          <w:rFonts w:hint="eastAsia" w:ascii="Arial" w:hAnsi="Arial"/>
          <w:b/>
          <w:sz w:val="24"/>
          <w:lang w:eastAsia="zh-CN"/>
        </w:rPr>
        <w:t>R4-2200837</w:t>
      </w:r>
      <w:bookmarkStart w:id="0" w:name="_GoBack"/>
      <w:bookmarkEnd w:id="0"/>
    </w:p>
    <w:p>
      <w:pPr>
        <w:tabs>
          <w:tab w:val="left" w:pos="3106"/>
          <w:tab w:val="center" w:pos="4536"/>
          <w:tab w:val="right" w:pos="9072"/>
        </w:tabs>
        <w:jc w:val="both"/>
        <w:rPr>
          <w:rFonts w:ascii="Arial" w:hAnsi="Arial" w:eastAsia="宋体"/>
          <w:b/>
          <w:sz w:val="24"/>
          <w:lang w:val="en-GB" w:eastAsia="zh-CN"/>
        </w:rPr>
      </w:pPr>
      <w:r>
        <w:rPr>
          <w:rFonts w:hint="eastAsia" w:ascii="Arial" w:hAnsi="Arial" w:eastAsia="宋体" w:cs="Arial"/>
          <w:b/>
          <w:sz w:val="24"/>
          <w:lang w:eastAsia="zh-CN"/>
        </w:rPr>
        <w:t>Electronic Meeting, January 17-25, 2022</w:t>
      </w:r>
    </w:p>
    <w:p>
      <w:pPr>
        <w:tabs>
          <w:tab w:val="left" w:pos="420"/>
          <w:tab w:val="left" w:pos="840"/>
          <w:tab w:val="left" w:pos="1260"/>
          <w:tab w:val="left" w:pos="1680"/>
          <w:tab w:val="left" w:pos="2100"/>
          <w:tab w:val="left" w:pos="2520"/>
        </w:tabs>
        <w:jc w:val="both"/>
        <w:rPr>
          <w:rFonts w:ascii="Arial" w:hAnsi="Arial" w:eastAsia="宋体"/>
          <w:b/>
          <w:sz w:val="24"/>
          <w:lang w:val="en-GB" w:eastAsia="zh-CN"/>
        </w:rPr>
      </w:pPr>
    </w:p>
    <w:p>
      <w:pPr>
        <w:pStyle w:val="14"/>
        <w:tabs>
          <w:tab w:val="left" w:pos="1800"/>
          <w:tab w:val="clear" w:pos="4536"/>
        </w:tabs>
        <w:spacing w:after="60"/>
        <w:ind w:left="1800" w:hanging="1800"/>
        <w:jc w:val="both"/>
        <w:rPr>
          <w:rFonts w:eastAsia="宋体"/>
          <w:sz w:val="24"/>
          <w:lang w:val="en-US" w:eastAsia="zh-CN"/>
        </w:rPr>
      </w:pPr>
      <w:r>
        <w:rPr>
          <w:sz w:val="24"/>
          <w:lang w:val="en-US"/>
        </w:rPr>
        <w:t>Source:</w:t>
      </w:r>
      <w:r>
        <w:rPr>
          <w:rFonts w:hint="eastAsia" w:eastAsiaTheme="minorEastAsia"/>
          <w:sz w:val="24"/>
          <w:lang w:val="en-US" w:eastAsia="zh-CN"/>
        </w:rPr>
        <w:tab/>
      </w:r>
      <w:r>
        <w:rPr>
          <w:rFonts w:eastAsia="宋体"/>
          <w:sz w:val="24"/>
          <w:lang w:val="en-US" w:eastAsia="zh-CN"/>
        </w:rPr>
        <w:t>ZTE Corporation</w:t>
      </w:r>
    </w:p>
    <w:p>
      <w:pPr>
        <w:spacing w:after="120"/>
        <w:ind w:left="1985" w:hanging="1985"/>
        <w:rPr>
          <w:rFonts w:ascii="Arial" w:hAnsi="Arial" w:eastAsia="MS Mincho"/>
          <w:b/>
          <w:sz w:val="24"/>
          <w:lang w:eastAsia="zh-CN"/>
        </w:rPr>
      </w:pPr>
      <w:r>
        <w:rPr>
          <w:rFonts w:ascii="Arial" w:hAnsi="Arial" w:eastAsia="MS Mincho"/>
          <w:b/>
          <w:sz w:val="24"/>
        </w:rPr>
        <w:t>Title:</w:t>
      </w:r>
      <w:r>
        <w:rPr>
          <w:rFonts w:hint="eastAsia" w:ascii="Arial" w:hAnsi="Arial" w:eastAsia="宋体"/>
          <w:b/>
          <w:sz w:val="24"/>
          <w:lang w:val="en-US" w:eastAsia="zh-CN"/>
        </w:rPr>
        <w:t xml:space="preserve">          </w:t>
      </w:r>
      <w:r>
        <w:rPr>
          <w:rFonts w:hint="eastAsia" w:ascii="Arial" w:hAnsi="Arial" w:eastAsia="MS Mincho"/>
          <w:b/>
          <w:sz w:val="24"/>
          <w:lang w:eastAsia="zh-CN"/>
        </w:rPr>
        <w:t>PDSCH requirements under Bi-directional scenario</w:t>
      </w:r>
    </w:p>
    <w:p>
      <w:pPr>
        <w:pStyle w:val="14"/>
        <w:tabs>
          <w:tab w:val="left" w:pos="1800"/>
          <w:tab w:val="left" w:pos="3825"/>
          <w:tab w:val="clear" w:pos="4536"/>
          <w:tab w:val="clear" w:pos="9072"/>
        </w:tabs>
        <w:spacing w:after="60"/>
        <w:jc w:val="both"/>
        <w:rPr>
          <w:rFonts w:eastAsia="宋体"/>
          <w:sz w:val="24"/>
          <w:lang w:val="en-US" w:eastAsia="zh-CN"/>
        </w:rPr>
      </w:pPr>
      <w:r>
        <w:rPr>
          <w:sz w:val="24"/>
          <w:lang w:val="sv-SE"/>
        </w:rPr>
        <w:t>Agenda Item:</w:t>
      </w:r>
      <w:r>
        <w:rPr>
          <w:sz w:val="24"/>
          <w:lang w:val="sv-SE"/>
        </w:rPr>
        <w:tab/>
      </w:r>
      <w:r>
        <w:rPr>
          <w:rFonts w:hint="eastAsia" w:eastAsia="宋体"/>
          <w:sz w:val="24"/>
          <w:lang w:val="en-US" w:eastAsia="zh-CN"/>
        </w:rPr>
        <w:t>6.9.5.2.2</w:t>
      </w:r>
    </w:p>
    <w:p>
      <w:pPr>
        <w:pStyle w:val="14"/>
        <w:tabs>
          <w:tab w:val="left" w:pos="1800"/>
        </w:tabs>
        <w:snapToGrid w:val="0"/>
        <w:spacing w:after="240"/>
        <w:jc w:val="both"/>
        <w:rPr>
          <w:rFonts w:eastAsia="宋体"/>
          <w:sz w:val="24"/>
          <w:lang w:val="en-US" w:eastAsia="zh-CN"/>
        </w:rPr>
      </w:pPr>
      <w:r>
        <w:rPr>
          <w:sz w:val="24"/>
        </w:rPr>
        <w:t>Document for:</w:t>
      </w:r>
      <w:r>
        <w:rPr>
          <w:sz w:val="24"/>
        </w:rPr>
        <w:tab/>
      </w:r>
      <w:r>
        <w:rPr>
          <w:rFonts w:hint="eastAsia" w:eastAsia="宋体"/>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eastAsia="zh-CN"/>
        </w:rPr>
      </w:pPr>
      <w:r>
        <w:rPr>
          <w:rFonts w:eastAsia="宋体"/>
          <w:lang w:eastAsia="zh-CN"/>
        </w:rPr>
        <w:t>Introduction</w:t>
      </w:r>
    </w:p>
    <w:p>
      <w:pPr>
        <w:pStyle w:val="3"/>
        <w:tabs>
          <w:tab w:val="left" w:pos="226"/>
          <w:tab w:val="left" w:pos="284"/>
          <w:tab w:val="left" w:pos="5103"/>
        </w:tabs>
        <w:snapToGrid w:val="0"/>
        <w:spacing w:beforeLines="50"/>
        <w:rPr>
          <w:rFonts w:eastAsia="宋体"/>
          <w:szCs w:val="20"/>
          <w:lang w:val="en-US" w:eastAsia="zh-CN"/>
        </w:rPr>
      </w:pPr>
      <w:r>
        <w:rPr>
          <w:rFonts w:hint="eastAsia" w:eastAsia="宋体"/>
          <w:szCs w:val="20"/>
          <w:lang w:val="en-US" w:eastAsia="zh-CN"/>
        </w:rPr>
        <w:t>In this contribution, the channel model and test issues for scenario-B are discussed.</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eastAsia="zh-CN"/>
        </w:rPr>
      </w:pPr>
      <w:r>
        <w:rPr>
          <w:rFonts w:hint="eastAsia" w:eastAsia="宋体"/>
          <w:lang w:eastAsia="zh-CN"/>
        </w:rPr>
        <w:t>Discussion</w:t>
      </w:r>
    </w:p>
    <w:p>
      <w:pPr>
        <w:pStyle w:val="29"/>
        <w:ind w:firstLine="0" w:firstLineChars="0"/>
        <w:rPr>
          <w:rFonts w:ascii="Times New Roman" w:hAnsi="Times New Roman"/>
          <w:bCs/>
          <w:kern w:val="0"/>
          <w:sz w:val="20"/>
          <w:szCs w:val="20"/>
        </w:rPr>
      </w:pPr>
      <w:r>
        <w:rPr>
          <w:rFonts w:ascii="Times New Roman" w:hAnsi="Times New Roman"/>
          <w:bCs/>
          <w:kern w:val="0"/>
          <w:sz w:val="20"/>
          <w:szCs w:val="20"/>
        </w:rPr>
        <w:t xml:space="preserve">In </w:t>
      </w:r>
      <w:r>
        <w:rPr>
          <w:rFonts w:hint="eastAsia" w:ascii="Times New Roman" w:hAnsi="Times New Roman"/>
          <w:bCs/>
          <w:kern w:val="0"/>
          <w:sz w:val="20"/>
          <w:szCs w:val="20"/>
        </w:rPr>
        <w:t>RAN4# 10</w:t>
      </w:r>
      <w:r>
        <w:rPr>
          <w:rFonts w:hint="eastAsia" w:ascii="Times New Roman" w:hAnsi="Times New Roman"/>
          <w:bCs/>
          <w:kern w:val="0"/>
          <w:sz w:val="20"/>
          <w:szCs w:val="20"/>
          <w:lang w:val="en-US" w:eastAsia="zh-CN"/>
        </w:rPr>
        <w:t>1</w:t>
      </w:r>
      <w:r>
        <w:rPr>
          <w:rFonts w:hint="eastAsia" w:ascii="Times New Roman" w:hAnsi="Times New Roman"/>
          <w:bCs/>
          <w:kern w:val="0"/>
          <w:sz w:val="20"/>
          <w:szCs w:val="20"/>
        </w:rPr>
        <w:t>-e</w:t>
      </w:r>
      <w:r>
        <w:rPr>
          <w:rFonts w:ascii="Times New Roman" w:hAnsi="Times New Roman"/>
          <w:bCs/>
          <w:kern w:val="0"/>
          <w:sz w:val="20"/>
          <w:szCs w:val="20"/>
        </w:rPr>
        <w:t xml:space="preserve"> meeting, the </w:t>
      </w:r>
      <w:r>
        <w:rPr>
          <w:rFonts w:hint="eastAsia" w:ascii="Times New Roman" w:hAnsi="Times New Roman"/>
          <w:bCs/>
          <w:kern w:val="0"/>
          <w:sz w:val="20"/>
          <w:szCs w:val="20"/>
          <w:lang w:val="en-US" w:eastAsia="zh-CN"/>
        </w:rPr>
        <w:t xml:space="preserve">UE capability was discussed and the </w:t>
      </w:r>
      <w:r>
        <w:rPr>
          <w:rFonts w:ascii="Times New Roman" w:hAnsi="Times New Roman"/>
          <w:bCs/>
          <w:kern w:val="0"/>
          <w:sz w:val="20"/>
          <w:szCs w:val="20"/>
        </w:rPr>
        <w:t xml:space="preserve">following </w:t>
      </w:r>
      <w:r>
        <w:rPr>
          <w:rFonts w:hint="eastAsia" w:ascii="Times New Roman" w:hAnsi="Times New Roman"/>
          <w:bCs/>
          <w:kern w:val="0"/>
          <w:sz w:val="20"/>
          <w:szCs w:val="20"/>
          <w:lang w:val="en-US" w:eastAsia="zh-CN"/>
        </w:rPr>
        <w:t xml:space="preserve">2 option </w:t>
      </w:r>
      <w:r>
        <w:rPr>
          <w:rFonts w:hint="eastAsia" w:ascii="Times New Roman" w:hAnsi="Times New Roman"/>
          <w:bCs/>
          <w:kern w:val="0"/>
          <w:sz w:val="20"/>
          <w:szCs w:val="20"/>
        </w:rPr>
        <w:t>about scenario-B were</w:t>
      </w:r>
      <w:r>
        <w:rPr>
          <w:rFonts w:ascii="Times New Roman" w:hAnsi="Times New Roman"/>
          <w:bCs/>
          <w:kern w:val="0"/>
          <w:sz w:val="20"/>
          <w:szCs w:val="20"/>
        </w:rPr>
        <w:t xml:space="preserve"> reached</w:t>
      </w:r>
      <w:r>
        <w:rPr>
          <w:rFonts w:hint="eastAsia" w:ascii="Times New Roman" w:hAnsi="Times New Roman"/>
          <w:bCs/>
          <w:kern w:val="0"/>
          <w:sz w:val="20"/>
          <w:szCs w:val="20"/>
          <w:vertAlign w:val="superscript"/>
        </w:rPr>
        <w:t>[1]</w:t>
      </w:r>
      <w:r>
        <w:rPr>
          <w:rFonts w:ascii="Times New Roman" w:hAnsi="Times New Roman"/>
          <w:bCs/>
          <w:kern w:val="0"/>
          <w:sz w:val="20"/>
          <w:szCs w:val="20"/>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spacing w:after="120"/>
              <w:rPr>
                <w:szCs w:val="24"/>
                <w:lang w:eastAsia="zh-CN"/>
              </w:rPr>
            </w:pPr>
            <w:r>
              <w:rPr>
                <w:b/>
                <w:szCs w:val="24"/>
                <w:lang w:eastAsia="zh-CN"/>
              </w:rPr>
              <w:t xml:space="preserve">Issue 2-1-3: UE capability </w:t>
            </w:r>
          </w:p>
          <w:p>
            <w:pPr>
              <w:rPr>
                <w:b/>
                <w:bCs/>
                <w:szCs w:val="24"/>
                <w:lang w:val="en-US" w:eastAsia="zh-CN"/>
              </w:rPr>
            </w:pPr>
            <w:r>
              <w:rPr>
                <w:b/>
                <w:bCs/>
                <w:szCs w:val="24"/>
                <w:lang w:val="en-US" w:eastAsia="zh-CN"/>
              </w:rPr>
              <w:t>Way forward:</w:t>
            </w:r>
          </w:p>
          <w:p>
            <w:pPr>
              <w:pStyle w:val="29"/>
              <w:numPr>
                <w:ilvl w:val="0"/>
                <w:numId w:val="4"/>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 xml:space="preserve">Option 1: </w:t>
            </w:r>
          </w:p>
          <w:p>
            <w:pPr>
              <w:pStyle w:val="29"/>
              <w:numPr>
                <w:ilvl w:val="1"/>
                <w:numId w:val="4"/>
              </w:numPr>
              <w:overflowPunct/>
              <w:autoSpaceDE/>
              <w:autoSpaceDN/>
              <w:adjustRightInd/>
              <w:spacing w:after="120"/>
              <w:ind w:left="1440" w:firstLineChars="0"/>
              <w:textAlignment w:val="auto"/>
            </w:pPr>
            <w:r>
              <w:t>Do not introduce the UE capability to differentiate requirement for Bi/Uni-directional.</w:t>
            </w:r>
          </w:p>
          <w:p>
            <w:pPr>
              <w:pStyle w:val="29"/>
              <w:numPr>
                <w:ilvl w:val="0"/>
                <w:numId w:val="4"/>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Option 2: if found to be needed, define UE capability to support operation in HST FR2 bidirectional deployments with higher than 250 km/h speed. Define corresponding performance requirements with up to UE capability</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rPr>
                <w:rFonts w:hint="eastAsia"/>
                <w:szCs w:val="20"/>
                <w:highlight w:val="green"/>
                <w:lang w:val="en-GB" w:eastAsia="zh-CN"/>
              </w:rPr>
            </w:pPr>
          </w:p>
        </w:tc>
      </w:tr>
    </w:tbl>
    <w:p>
      <w:pPr>
        <w:pStyle w:val="29"/>
        <w:keepNext w:val="0"/>
        <w:keepLines w:val="0"/>
        <w:pageBreakBefore w:val="0"/>
        <w:widowControl w:val="0"/>
        <w:kinsoku/>
        <w:wordWrap/>
        <w:overflowPunct/>
        <w:topLinePunct w:val="0"/>
        <w:autoSpaceDE/>
        <w:autoSpaceDN/>
        <w:bidi w:val="0"/>
        <w:adjustRightInd/>
        <w:snapToGrid/>
        <w:spacing w:before="313" w:beforeLines="100" w:line="260" w:lineRule="auto"/>
        <w:ind w:firstLine="0" w:firstLineChars="0"/>
        <w:textAlignment w:val="auto"/>
        <w:rPr>
          <w:rFonts w:hint="eastAsia" w:ascii="Times New Roman" w:hAnsi="Times New Roman"/>
          <w:bCs/>
          <w:kern w:val="0"/>
          <w:sz w:val="20"/>
          <w:szCs w:val="20"/>
          <w:lang w:val="en-US" w:eastAsia="zh-CN"/>
        </w:rPr>
      </w:pPr>
      <w:r>
        <w:rPr>
          <w:rFonts w:hint="eastAsia" w:ascii="Times New Roman" w:hAnsi="Times New Roman"/>
          <w:bCs/>
          <w:kern w:val="0"/>
          <w:sz w:val="20"/>
          <w:szCs w:val="20"/>
          <w:lang w:val="en-US" w:eastAsia="zh-CN"/>
        </w:rPr>
        <w:t>The two options on the UE capability above are not mutually exclusive. For example, when option 1 is supported, option 2 can also be supported.</w:t>
      </w:r>
    </w:p>
    <w:p>
      <w:pPr>
        <w:pStyle w:val="29"/>
        <w:keepNext w:val="0"/>
        <w:keepLines w:val="0"/>
        <w:pageBreakBefore w:val="0"/>
        <w:widowControl w:val="0"/>
        <w:kinsoku/>
        <w:wordWrap/>
        <w:overflowPunct/>
        <w:topLinePunct w:val="0"/>
        <w:autoSpaceDE/>
        <w:autoSpaceDN/>
        <w:bidi w:val="0"/>
        <w:adjustRightInd/>
        <w:snapToGrid/>
        <w:spacing w:before="313" w:beforeLines="100" w:line="260" w:lineRule="auto"/>
        <w:ind w:firstLine="0" w:firstLineChars="0"/>
        <w:textAlignment w:val="auto"/>
        <w:rPr>
          <w:rFonts w:hint="eastAsia" w:ascii="Times New Roman" w:hAnsi="Times New Roman"/>
          <w:bCs/>
          <w:kern w:val="0"/>
          <w:sz w:val="20"/>
          <w:szCs w:val="20"/>
          <w:lang w:val="en-US" w:eastAsia="zh-CN"/>
        </w:rPr>
      </w:pPr>
      <w:r>
        <w:rPr>
          <w:rFonts w:hint="eastAsia" w:ascii="Times New Roman" w:hAnsi="Times New Roman"/>
          <w:bCs/>
          <w:kern w:val="0"/>
          <w:sz w:val="20"/>
          <w:szCs w:val="20"/>
          <w:lang w:val="en-US" w:eastAsia="zh-CN"/>
        </w:rPr>
        <w:t>For option 1, signaling needs to be introduced to indicate whether the UE supports uni directional deployment or bi directional deployment. In our understanding, the HST deployment is relatively fixed. If the network is uni-directional deployment, the network can not provide bi-directional deployment even if the CPE reports capability of bi-directional. Also the network will adjust bore-sight for certain deployment. For example, if the RRH is determined as uni-directional deployment, the bore sight and beam direction will be adjusted for this type of deployment. Figure 1 and figure 2 show the bore-sight setup for uni-directional deployment and bi-directional deployment.</w:t>
      </w:r>
    </w:p>
    <w:p>
      <w:pPr>
        <w:pStyle w:val="29"/>
        <w:keepNext w:val="0"/>
        <w:keepLines w:val="0"/>
        <w:pageBreakBefore w:val="0"/>
        <w:widowControl w:val="0"/>
        <w:kinsoku/>
        <w:wordWrap/>
        <w:overflowPunct/>
        <w:topLinePunct w:val="0"/>
        <w:autoSpaceDE/>
        <w:autoSpaceDN/>
        <w:bidi w:val="0"/>
        <w:adjustRightInd/>
        <w:snapToGrid/>
        <w:spacing w:before="313" w:beforeLines="100" w:line="260" w:lineRule="auto"/>
        <w:ind w:firstLine="0" w:firstLineChars="0"/>
        <w:textAlignment w:val="auto"/>
      </w:pPr>
      <w:r>
        <w:object>
          <v:shape id="_x0000_i1025" o:spt="75" type="#_x0000_t75" style="height:179.7pt;width:415.1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r:id="rId5">
            <o:LockedField>false</o:LockedField>
          </o:OLEObject>
        </w:object>
      </w:r>
    </w:p>
    <w:p>
      <w:pPr>
        <w:pStyle w:val="29"/>
        <w:keepNext w:val="0"/>
        <w:keepLines w:val="0"/>
        <w:pageBreakBefore w:val="0"/>
        <w:widowControl w:val="0"/>
        <w:kinsoku/>
        <w:wordWrap/>
        <w:overflowPunct/>
        <w:topLinePunct w:val="0"/>
        <w:autoSpaceDE/>
        <w:autoSpaceDN/>
        <w:bidi w:val="0"/>
        <w:adjustRightInd/>
        <w:snapToGrid/>
        <w:spacing w:before="313" w:beforeLines="100" w:line="260" w:lineRule="auto"/>
        <w:ind w:firstLine="0" w:firstLineChars="0"/>
        <w:jc w:val="center"/>
        <w:textAlignment w:val="auto"/>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 xml:space="preserve">Figure 1 </w:t>
      </w:r>
      <w:r>
        <w:rPr>
          <w:rFonts w:hint="eastAsia" w:ascii="Times New Roman" w:hAnsi="Times New Roman" w:cs="Times New Roman"/>
          <w:sz w:val="20"/>
          <w:szCs w:val="20"/>
          <w:lang w:val="en-US" w:eastAsia="zh-CN"/>
        </w:rPr>
        <w:t>bore sight and beam direction for scenario-B uni-directional deployment</w:t>
      </w:r>
    </w:p>
    <w:p>
      <w:pPr>
        <w:pStyle w:val="29"/>
        <w:keepNext w:val="0"/>
        <w:keepLines w:val="0"/>
        <w:pageBreakBefore w:val="0"/>
        <w:widowControl w:val="0"/>
        <w:kinsoku/>
        <w:wordWrap/>
        <w:overflowPunct/>
        <w:topLinePunct w:val="0"/>
        <w:autoSpaceDE/>
        <w:autoSpaceDN/>
        <w:bidi w:val="0"/>
        <w:adjustRightInd/>
        <w:snapToGrid/>
        <w:spacing w:before="313" w:beforeLines="100" w:line="260" w:lineRule="auto"/>
        <w:ind w:firstLine="0" w:firstLineChars="0"/>
        <w:textAlignment w:val="auto"/>
      </w:pPr>
      <w:r>
        <w:object>
          <v:shape id="_x0000_i1026" o:spt="75" type="#_x0000_t75" style="height:184.05pt;width:415.1pt;" o:ole="t" filled="f" o:preferrelative="t" stroked="f" coordsize="21600,21600">
            <v:path/>
            <v:fill on="f" focussize="0,0"/>
            <v:stroke on="f" joinstyle="miter"/>
            <v:imagedata r:id="rId8" o:title=""/>
            <o:lock v:ext="edit" aspectratio="t"/>
            <w10:wrap type="none"/>
            <w10:anchorlock/>
          </v:shape>
          <o:OLEObject Type="Embed" ProgID="Visio.Drawing.11" ShapeID="_x0000_i1026" DrawAspect="Content" ObjectID="_1468075726" r:id="rId7">
            <o:LockedField>false</o:LockedField>
          </o:OLEObject>
        </w:object>
      </w:r>
    </w:p>
    <w:p>
      <w:pPr>
        <w:pStyle w:val="29"/>
        <w:keepNext w:val="0"/>
        <w:keepLines w:val="0"/>
        <w:pageBreakBefore w:val="0"/>
        <w:widowControl w:val="0"/>
        <w:kinsoku/>
        <w:wordWrap/>
        <w:overflowPunct/>
        <w:topLinePunct w:val="0"/>
        <w:autoSpaceDE/>
        <w:autoSpaceDN/>
        <w:bidi w:val="0"/>
        <w:adjustRightInd/>
        <w:snapToGrid/>
        <w:spacing w:before="313" w:beforeLines="100" w:line="260" w:lineRule="auto"/>
        <w:ind w:firstLine="0" w:firstLineChars="0"/>
        <w:jc w:val="center"/>
        <w:textAlignment w:val="auto"/>
        <w:rPr>
          <w:rFonts w:hint="default"/>
          <w:lang w:val="en-US" w:eastAsia="zh-CN"/>
        </w:rPr>
      </w:pPr>
      <w:r>
        <w:rPr>
          <w:rFonts w:hint="default" w:ascii="Times New Roman" w:hAnsi="Times New Roman" w:cs="Times New Roman"/>
          <w:sz w:val="20"/>
          <w:szCs w:val="20"/>
          <w:lang w:val="en-US" w:eastAsia="zh-CN"/>
        </w:rPr>
        <w:t xml:space="preserve">Figure </w:t>
      </w:r>
      <w:r>
        <w:rPr>
          <w:rFonts w:hint="eastAsia" w:ascii="Times New Roman" w:hAnsi="Times New Roman" w:cs="Times New Roman"/>
          <w:sz w:val="20"/>
          <w:szCs w:val="20"/>
          <w:lang w:val="en-US" w:eastAsia="zh-CN"/>
        </w:rPr>
        <w:t>2</w:t>
      </w:r>
      <w:r>
        <w:rPr>
          <w:rFonts w:hint="default"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zh-CN"/>
        </w:rPr>
        <w:t>bore sight and beam direction for scenario-B bi-directional deployment</w:t>
      </w:r>
    </w:p>
    <w:p>
      <w:pPr>
        <w:pStyle w:val="29"/>
        <w:suppressAutoHyphens/>
        <w:ind w:firstLine="0" w:firstLineChars="0"/>
        <w:rPr>
          <w:rFonts w:hint="eastAsia" w:ascii="Times New Roman" w:hAnsi="Times New Roman"/>
          <w:b w:val="0"/>
          <w:bCs/>
          <w:kern w:val="0"/>
          <w:sz w:val="20"/>
          <w:szCs w:val="20"/>
          <w:lang w:val="en-US" w:eastAsia="zh-CN"/>
        </w:rPr>
      </w:pPr>
      <w:r>
        <w:rPr>
          <w:rFonts w:hint="eastAsia" w:ascii="Times New Roman" w:hAnsi="Times New Roman"/>
          <w:b w:val="0"/>
          <w:bCs/>
          <w:kern w:val="0"/>
          <w:sz w:val="20"/>
          <w:szCs w:val="20"/>
          <w:lang w:val="en-US" w:eastAsia="zh-CN"/>
        </w:rPr>
        <w:t>If the network is bi-directional deployed and the HST CPE supports uni-directional operation, the network may not have the opportunity to adjust the bore sight of the panel adapt to the deployment type reported by HST CPE.</w:t>
      </w:r>
    </w:p>
    <w:p>
      <w:pPr>
        <w:pStyle w:val="29"/>
        <w:suppressAutoHyphens/>
        <w:ind w:firstLine="0" w:firstLineChars="0"/>
        <w:rPr>
          <w:rFonts w:hint="default" w:ascii="Times New Roman" w:hAnsi="Times New Roman"/>
          <w:b w:val="0"/>
          <w:bCs/>
          <w:kern w:val="0"/>
          <w:sz w:val="20"/>
          <w:szCs w:val="20"/>
          <w:lang w:val="en-US" w:eastAsia="zh-CN"/>
        </w:rPr>
      </w:pPr>
      <w:r>
        <w:rPr>
          <w:rFonts w:hint="eastAsia" w:ascii="Times New Roman" w:hAnsi="Times New Roman"/>
          <w:b w:val="0"/>
          <w:bCs/>
          <w:kern w:val="0"/>
          <w:sz w:val="20"/>
          <w:szCs w:val="20"/>
          <w:lang w:val="en-US" w:eastAsia="zh-CN"/>
        </w:rPr>
        <w:t>On the other hand, UE may experience different deployment type when CPE moves from one place to another. The CPE can not require the network always provide the same deployment type reported by CPE. It</w:t>
      </w:r>
      <w:r>
        <w:rPr>
          <w:rFonts w:hint="default" w:ascii="Times New Roman" w:hAnsi="Times New Roman"/>
          <w:b w:val="0"/>
          <w:bCs/>
          <w:kern w:val="0"/>
          <w:sz w:val="20"/>
          <w:szCs w:val="20"/>
          <w:lang w:val="en-US" w:eastAsia="zh-CN"/>
        </w:rPr>
        <w:t>’</w:t>
      </w:r>
      <w:r>
        <w:rPr>
          <w:rFonts w:hint="eastAsia" w:ascii="Times New Roman" w:hAnsi="Times New Roman"/>
          <w:b w:val="0"/>
          <w:bCs/>
          <w:kern w:val="0"/>
          <w:sz w:val="20"/>
          <w:szCs w:val="20"/>
          <w:lang w:val="en-US" w:eastAsia="zh-CN"/>
        </w:rPr>
        <w:t>s reasonable for HST CPE to support both uni-directional deployment and bi-directional deployment by default.</w:t>
      </w:r>
    </w:p>
    <w:p>
      <w:pPr>
        <w:pStyle w:val="29"/>
        <w:suppressAutoHyphens/>
        <w:ind w:firstLine="0" w:firstLineChars="0"/>
        <w:rPr>
          <w:rFonts w:ascii="Times New Roman" w:hAnsi="Times New Roman"/>
          <w:b/>
          <w:kern w:val="0"/>
          <w:sz w:val="20"/>
          <w:szCs w:val="20"/>
        </w:rPr>
      </w:pPr>
      <w:r>
        <w:rPr>
          <w:rFonts w:ascii="Times New Roman" w:hAnsi="Times New Roman"/>
          <w:b/>
          <w:kern w:val="0"/>
          <w:sz w:val="20"/>
          <w:szCs w:val="20"/>
        </w:rPr>
        <w:t xml:space="preserve">Proposal </w:t>
      </w:r>
      <w:r>
        <w:rPr>
          <w:rFonts w:hint="eastAsia" w:ascii="Times New Roman" w:hAnsi="Times New Roman"/>
          <w:b/>
          <w:kern w:val="0"/>
          <w:sz w:val="20"/>
          <w:szCs w:val="20"/>
        </w:rPr>
        <w:t>1</w:t>
      </w:r>
      <w:r>
        <w:rPr>
          <w:rFonts w:ascii="Times New Roman" w:hAnsi="Times New Roman"/>
          <w:b/>
          <w:kern w:val="0"/>
          <w:sz w:val="20"/>
          <w:szCs w:val="20"/>
        </w:rPr>
        <w:t>:</w:t>
      </w:r>
      <w:r>
        <w:rPr>
          <w:rFonts w:hint="eastAsia" w:ascii="Times New Roman" w:hAnsi="Times New Roman"/>
          <w:b/>
          <w:kern w:val="0"/>
          <w:sz w:val="20"/>
          <w:szCs w:val="20"/>
          <w:lang w:val="en-US" w:eastAsia="zh-CN"/>
        </w:rPr>
        <w:t xml:space="preserve"> Not to define signaling distinguishing UE capability between uni-directional deployment and bi-directional deployment</w:t>
      </w:r>
      <w:r>
        <w:rPr>
          <w:rFonts w:ascii="Times New Roman" w:hAnsi="Times New Roman"/>
          <w:b/>
          <w:kern w:val="0"/>
          <w:sz w:val="20"/>
          <w:szCs w:val="20"/>
        </w:rPr>
        <w:t>.</w:t>
      </w:r>
    </w:p>
    <w:p>
      <w:pPr>
        <w:rPr>
          <w:rFonts w:hint="eastAsia" w:eastAsia="宋体"/>
          <w:b w:val="0"/>
          <w:bCs/>
          <w:kern w:val="0"/>
          <w:sz w:val="20"/>
          <w:szCs w:val="20"/>
          <w:lang w:val="en-US" w:eastAsia="zh-CN"/>
        </w:rPr>
      </w:pPr>
      <w:r>
        <w:rPr>
          <w:rFonts w:hint="eastAsia" w:eastAsia="宋体"/>
          <w:b w:val="0"/>
          <w:bCs/>
          <w:kern w:val="0"/>
          <w:sz w:val="20"/>
          <w:szCs w:val="20"/>
          <w:lang w:val="en-US" w:eastAsia="zh-CN"/>
        </w:rPr>
        <w:t>For option 2 we are open to introduce the capability for different speed. If different speed for practical deployment is confirmed the capability signaling can be supported as lower speed may require lower Doppler estimation and compensation.</w:t>
      </w:r>
    </w:p>
    <w:p>
      <w:pPr>
        <w:pStyle w:val="29"/>
        <w:suppressAutoHyphens/>
        <w:ind w:firstLine="0" w:firstLineChars="0"/>
        <w:rPr>
          <w:rFonts w:ascii="Times New Roman" w:hAnsi="Times New Roman"/>
          <w:b/>
          <w:kern w:val="0"/>
          <w:sz w:val="20"/>
          <w:szCs w:val="20"/>
        </w:rPr>
      </w:pPr>
      <w:r>
        <w:rPr>
          <w:rFonts w:ascii="Times New Roman" w:hAnsi="Times New Roman"/>
          <w:b/>
          <w:kern w:val="0"/>
          <w:sz w:val="20"/>
          <w:szCs w:val="20"/>
        </w:rPr>
        <w:t xml:space="preserve">Proposal </w:t>
      </w:r>
      <w:r>
        <w:rPr>
          <w:rFonts w:hint="eastAsia" w:ascii="Times New Roman" w:hAnsi="Times New Roman"/>
          <w:b/>
          <w:kern w:val="0"/>
          <w:sz w:val="20"/>
          <w:szCs w:val="20"/>
          <w:lang w:val="en-US" w:eastAsia="zh-CN"/>
        </w:rPr>
        <w:t>2</w:t>
      </w:r>
      <w:r>
        <w:rPr>
          <w:rFonts w:ascii="Times New Roman" w:hAnsi="Times New Roman"/>
          <w:b/>
          <w:kern w:val="0"/>
          <w:sz w:val="20"/>
          <w:szCs w:val="20"/>
        </w:rPr>
        <w:t>:</w:t>
      </w:r>
      <w:r>
        <w:rPr>
          <w:rFonts w:hint="eastAsia" w:ascii="Times New Roman" w:hAnsi="Times New Roman"/>
          <w:b/>
          <w:kern w:val="0"/>
          <w:sz w:val="20"/>
          <w:szCs w:val="20"/>
          <w:lang w:val="en-US" w:eastAsia="zh-CN"/>
        </w:rPr>
        <w:t xml:space="preserve"> To support UE capability signaling differentiating different speed if the need of different speeds is confirmed</w:t>
      </w:r>
      <w:r>
        <w:rPr>
          <w:rFonts w:ascii="Times New Roman" w:hAnsi="Times New Roman"/>
          <w:b/>
          <w:kern w:val="0"/>
          <w:sz w:val="20"/>
          <w:szCs w:val="20"/>
        </w:rPr>
        <w:t>.</w:t>
      </w:r>
    </w:p>
    <w:p>
      <w:pPr>
        <w:rPr>
          <w:rFonts w:ascii="Times New Roman" w:hAnsi="Times New Roman"/>
          <w:b/>
          <w:kern w:val="0"/>
          <w:sz w:val="20"/>
          <w:szCs w:val="20"/>
        </w:rPr>
      </w:pPr>
      <w:r>
        <w:rPr>
          <w:rFonts w:ascii="Times New Roman" w:hAnsi="Times New Roman"/>
          <w:b/>
          <w:kern w:val="0"/>
          <w:sz w:val="20"/>
          <w:szCs w:val="20"/>
        </w:rPr>
        <w:br w:type="page"/>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val="en-US" w:eastAsia="zh-CN"/>
        </w:rPr>
      </w:pPr>
      <w:r>
        <w:rPr>
          <w:rFonts w:eastAsia="宋体"/>
          <w:lang w:val="en-US" w:eastAsia="zh-CN"/>
        </w:rPr>
        <w:t>Conclusion</w:t>
      </w:r>
    </w:p>
    <w:p>
      <w:pPr>
        <w:rPr>
          <w:rFonts w:eastAsia="宋体"/>
          <w:bCs/>
          <w:szCs w:val="20"/>
          <w:lang w:eastAsia="zh-CN"/>
        </w:rPr>
      </w:pPr>
      <w:r>
        <w:rPr>
          <w:rFonts w:hint="eastAsia" w:eastAsia="宋体"/>
          <w:bCs/>
          <w:szCs w:val="20"/>
          <w:lang w:eastAsia="zh-CN"/>
        </w:rPr>
        <w:t>In this contribution, we provide the following proposals for HST_FR2 scenario-</w:t>
      </w:r>
      <w:r>
        <w:rPr>
          <w:rFonts w:hint="eastAsia" w:eastAsia="宋体"/>
          <w:bCs/>
          <w:szCs w:val="20"/>
          <w:lang w:val="en-US" w:eastAsia="zh-CN"/>
        </w:rPr>
        <w:t>B</w:t>
      </w:r>
      <w:r>
        <w:rPr>
          <w:rFonts w:hint="eastAsia" w:eastAsia="宋体"/>
          <w:bCs/>
          <w:szCs w:val="20"/>
          <w:lang w:eastAsia="zh-CN"/>
        </w:rPr>
        <w:t>:</w:t>
      </w:r>
    </w:p>
    <w:p>
      <w:pPr>
        <w:pStyle w:val="29"/>
        <w:suppressAutoHyphens/>
        <w:ind w:firstLine="0" w:firstLineChars="0"/>
        <w:rPr>
          <w:rFonts w:ascii="Times New Roman" w:hAnsi="Times New Roman"/>
          <w:b/>
          <w:kern w:val="0"/>
          <w:sz w:val="20"/>
          <w:szCs w:val="20"/>
        </w:rPr>
      </w:pPr>
      <w:r>
        <w:rPr>
          <w:rFonts w:ascii="Times New Roman" w:hAnsi="Times New Roman"/>
          <w:b/>
          <w:kern w:val="0"/>
          <w:sz w:val="20"/>
          <w:szCs w:val="20"/>
        </w:rPr>
        <w:t xml:space="preserve">Proposal </w:t>
      </w:r>
      <w:r>
        <w:rPr>
          <w:rFonts w:hint="eastAsia" w:ascii="Times New Roman" w:hAnsi="Times New Roman"/>
          <w:b/>
          <w:kern w:val="0"/>
          <w:sz w:val="20"/>
          <w:szCs w:val="20"/>
        </w:rPr>
        <w:t>1</w:t>
      </w:r>
      <w:r>
        <w:rPr>
          <w:rFonts w:ascii="Times New Roman" w:hAnsi="Times New Roman"/>
          <w:b/>
          <w:kern w:val="0"/>
          <w:sz w:val="20"/>
          <w:szCs w:val="20"/>
        </w:rPr>
        <w:t>:</w:t>
      </w:r>
      <w:r>
        <w:rPr>
          <w:rFonts w:hint="eastAsia" w:ascii="Times New Roman" w:hAnsi="Times New Roman"/>
          <w:b/>
          <w:kern w:val="0"/>
          <w:sz w:val="20"/>
          <w:szCs w:val="20"/>
          <w:lang w:val="en-US" w:eastAsia="zh-CN"/>
        </w:rPr>
        <w:t xml:space="preserve"> Not to define signaling distinguishing UE capability between uni-directional deployment and bi-directional deployment</w:t>
      </w:r>
      <w:r>
        <w:rPr>
          <w:rFonts w:ascii="Times New Roman" w:hAnsi="Times New Roman"/>
          <w:b/>
          <w:kern w:val="0"/>
          <w:sz w:val="20"/>
          <w:szCs w:val="20"/>
        </w:rPr>
        <w:t>.</w:t>
      </w:r>
    </w:p>
    <w:p>
      <w:pPr>
        <w:pStyle w:val="29"/>
        <w:suppressAutoHyphens/>
        <w:ind w:firstLine="0" w:firstLineChars="0"/>
        <w:rPr>
          <w:b/>
          <w:szCs w:val="20"/>
          <w:lang w:eastAsia="zh-CN"/>
        </w:rPr>
      </w:pPr>
      <w:r>
        <w:rPr>
          <w:rFonts w:ascii="Times New Roman" w:hAnsi="Times New Roman"/>
          <w:b/>
          <w:kern w:val="0"/>
          <w:sz w:val="20"/>
          <w:szCs w:val="20"/>
        </w:rPr>
        <w:t xml:space="preserve">Proposal </w:t>
      </w:r>
      <w:r>
        <w:rPr>
          <w:rFonts w:hint="eastAsia" w:ascii="Times New Roman" w:hAnsi="Times New Roman"/>
          <w:b/>
          <w:kern w:val="0"/>
          <w:sz w:val="20"/>
          <w:szCs w:val="20"/>
          <w:lang w:val="en-US" w:eastAsia="zh-CN"/>
        </w:rPr>
        <w:t>2</w:t>
      </w:r>
      <w:r>
        <w:rPr>
          <w:rFonts w:ascii="Times New Roman" w:hAnsi="Times New Roman"/>
          <w:b/>
          <w:kern w:val="0"/>
          <w:sz w:val="20"/>
          <w:szCs w:val="20"/>
        </w:rPr>
        <w:t>:</w:t>
      </w:r>
      <w:r>
        <w:rPr>
          <w:rFonts w:hint="eastAsia" w:ascii="Times New Roman" w:hAnsi="Times New Roman"/>
          <w:b/>
          <w:kern w:val="0"/>
          <w:sz w:val="20"/>
          <w:szCs w:val="20"/>
          <w:lang w:val="en-US" w:eastAsia="zh-CN"/>
        </w:rPr>
        <w:t xml:space="preserve"> To support UE capability signaling differentiating different speed if the need of different speeds is confirmed</w:t>
      </w:r>
      <w:r>
        <w:rPr>
          <w:rFonts w:ascii="Times New Roman" w:hAnsi="Times New Roman"/>
          <w:b/>
          <w:kern w:val="0"/>
          <w:sz w:val="20"/>
          <w:szCs w:val="20"/>
        </w:rPr>
        <w:t>.</w:t>
      </w:r>
      <w:r>
        <w:rPr>
          <w:rFonts w:hint="eastAsia"/>
          <w:b/>
          <w:szCs w:val="20"/>
          <w:lang w:eastAsia="zh-CN"/>
        </w:rPr>
        <w:br w:type="page"/>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val="en-US" w:eastAsia="zh-CN"/>
        </w:rPr>
      </w:pPr>
      <w:r>
        <w:rPr>
          <w:rFonts w:hint="eastAsia" w:eastAsia="宋体"/>
          <w:lang w:val="en-US" w:eastAsia="zh-CN"/>
        </w:rPr>
        <w:t>Reference</w:t>
      </w:r>
    </w:p>
    <w:p>
      <w:pPr>
        <w:pStyle w:val="9"/>
        <w:rPr>
          <w:sz w:val="20"/>
          <w:szCs w:val="20"/>
        </w:rPr>
      </w:pPr>
      <w:r>
        <w:rPr>
          <w:rFonts w:hint="eastAsia"/>
          <w:sz w:val="20"/>
          <w:szCs w:val="20"/>
          <w:lang w:val="en-US"/>
        </w:rPr>
        <w:t>R4-2120775 WF on general and UE demodulation requirement for FR2 HST</w:t>
      </w:r>
    </w:p>
    <w:p>
      <w:pPr>
        <w:rPr>
          <w:szCs w:val="20"/>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5E4"/>
    <w:rsid w:val="00001326"/>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3F97"/>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174"/>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161C"/>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164BFB"/>
    <w:rsid w:val="01624027"/>
    <w:rsid w:val="018B3BAA"/>
    <w:rsid w:val="01957959"/>
    <w:rsid w:val="01DC1C82"/>
    <w:rsid w:val="02065A2E"/>
    <w:rsid w:val="020928F5"/>
    <w:rsid w:val="02626E3D"/>
    <w:rsid w:val="027035ED"/>
    <w:rsid w:val="02770E1A"/>
    <w:rsid w:val="0298367A"/>
    <w:rsid w:val="02D254EC"/>
    <w:rsid w:val="02F72239"/>
    <w:rsid w:val="02FE5F82"/>
    <w:rsid w:val="032D5AEE"/>
    <w:rsid w:val="03A05508"/>
    <w:rsid w:val="03AB67DC"/>
    <w:rsid w:val="03B52240"/>
    <w:rsid w:val="03C77456"/>
    <w:rsid w:val="043D2559"/>
    <w:rsid w:val="0478015E"/>
    <w:rsid w:val="0526729B"/>
    <w:rsid w:val="05510DD1"/>
    <w:rsid w:val="05CD0FFE"/>
    <w:rsid w:val="062A620F"/>
    <w:rsid w:val="064B00B0"/>
    <w:rsid w:val="06654A0B"/>
    <w:rsid w:val="06823D8F"/>
    <w:rsid w:val="06C138E4"/>
    <w:rsid w:val="07622262"/>
    <w:rsid w:val="07A91BB0"/>
    <w:rsid w:val="07CD3CDD"/>
    <w:rsid w:val="09240BB6"/>
    <w:rsid w:val="09294F7D"/>
    <w:rsid w:val="09674661"/>
    <w:rsid w:val="097E672F"/>
    <w:rsid w:val="09825F02"/>
    <w:rsid w:val="09AB6C45"/>
    <w:rsid w:val="09E20449"/>
    <w:rsid w:val="0A2802DC"/>
    <w:rsid w:val="0A731B50"/>
    <w:rsid w:val="0B802D0D"/>
    <w:rsid w:val="0BC176FB"/>
    <w:rsid w:val="0BC70982"/>
    <w:rsid w:val="0BF41031"/>
    <w:rsid w:val="0C953742"/>
    <w:rsid w:val="0CA242EA"/>
    <w:rsid w:val="0D613BA3"/>
    <w:rsid w:val="0D744565"/>
    <w:rsid w:val="0D7F564D"/>
    <w:rsid w:val="0D835665"/>
    <w:rsid w:val="0DE052FE"/>
    <w:rsid w:val="0E3330D0"/>
    <w:rsid w:val="0ECE66B5"/>
    <w:rsid w:val="0ED62F9C"/>
    <w:rsid w:val="0F11785B"/>
    <w:rsid w:val="0F372967"/>
    <w:rsid w:val="0F4B1309"/>
    <w:rsid w:val="0F8B00D3"/>
    <w:rsid w:val="0FDA7DDA"/>
    <w:rsid w:val="0FFA1150"/>
    <w:rsid w:val="112D72C6"/>
    <w:rsid w:val="11A50508"/>
    <w:rsid w:val="120639A8"/>
    <w:rsid w:val="125D4125"/>
    <w:rsid w:val="12AE4121"/>
    <w:rsid w:val="13583391"/>
    <w:rsid w:val="137F4008"/>
    <w:rsid w:val="13F672DD"/>
    <w:rsid w:val="140C5848"/>
    <w:rsid w:val="141B497D"/>
    <w:rsid w:val="143E38B7"/>
    <w:rsid w:val="144E5CD4"/>
    <w:rsid w:val="15220493"/>
    <w:rsid w:val="158F210D"/>
    <w:rsid w:val="15E12A88"/>
    <w:rsid w:val="15E95672"/>
    <w:rsid w:val="16271D63"/>
    <w:rsid w:val="165C7589"/>
    <w:rsid w:val="16BD2FB9"/>
    <w:rsid w:val="16E7731D"/>
    <w:rsid w:val="179855D1"/>
    <w:rsid w:val="18BE3ED4"/>
    <w:rsid w:val="19607D81"/>
    <w:rsid w:val="199503FD"/>
    <w:rsid w:val="19AF5CF6"/>
    <w:rsid w:val="1A3F5603"/>
    <w:rsid w:val="1AA54D0B"/>
    <w:rsid w:val="1B870B5B"/>
    <w:rsid w:val="1BBC09F6"/>
    <w:rsid w:val="1C3672FA"/>
    <w:rsid w:val="1C3A751E"/>
    <w:rsid w:val="1C5D00DA"/>
    <w:rsid w:val="1C7D0C1A"/>
    <w:rsid w:val="1C7E2DD6"/>
    <w:rsid w:val="1CAD4CCB"/>
    <w:rsid w:val="1CCC40C9"/>
    <w:rsid w:val="1D186F9D"/>
    <w:rsid w:val="1D882A1C"/>
    <w:rsid w:val="1DA251E1"/>
    <w:rsid w:val="1DA93704"/>
    <w:rsid w:val="1F295D72"/>
    <w:rsid w:val="1F4325C8"/>
    <w:rsid w:val="1F595BBB"/>
    <w:rsid w:val="1F7C7957"/>
    <w:rsid w:val="1FD21E35"/>
    <w:rsid w:val="1FD96681"/>
    <w:rsid w:val="1FE10390"/>
    <w:rsid w:val="1FEE7A9C"/>
    <w:rsid w:val="200E58BD"/>
    <w:rsid w:val="205164A7"/>
    <w:rsid w:val="2090238B"/>
    <w:rsid w:val="20BA6502"/>
    <w:rsid w:val="216D7544"/>
    <w:rsid w:val="21B80AA5"/>
    <w:rsid w:val="221703FC"/>
    <w:rsid w:val="221A30CB"/>
    <w:rsid w:val="225216B5"/>
    <w:rsid w:val="22B37446"/>
    <w:rsid w:val="235408E6"/>
    <w:rsid w:val="239838E3"/>
    <w:rsid w:val="23FD5BE3"/>
    <w:rsid w:val="24386853"/>
    <w:rsid w:val="24715F69"/>
    <w:rsid w:val="249F5850"/>
    <w:rsid w:val="24B140D4"/>
    <w:rsid w:val="24C569C9"/>
    <w:rsid w:val="24CD28B9"/>
    <w:rsid w:val="24F907DC"/>
    <w:rsid w:val="250D35C2"/>
    <w:rsid w:val="252A03F9"/>
    <w:rsid w:val="25EF43C8"/>
    <w:rsid w:val="262E08BF"/>
    <w:rsid w:val="263951B2"/>
    <w:rsid w:val="263E55AD"/>
    <w:rsid w:val="264B37D3"/>
    <w:rsid w:val="27930B1B"/>
    <w:rsid w:val="283146AB"/>
    <w:rsid w:val="288C6204"/>
    <w:rsid w:val="28953442"/>
    <w:rsid w:val="28A96A0F"/>
    <w:rsid w:val="28EE7A07"/>
    <w:rsid w:val="2A1E2DE0"/>
    <w:rsid w:val="2A7049D1"/>
    <w:rsid w:val="2AB04251"/>
    <w:rsid w:val="2ABE7215"/>
    <w:rsid w:val="2AE8229B"/>
    <w:rsid w:val="2AEC42E5"/>
    <w:rsid w:val="2B034D47"/>
    <w:rsid w:val="2B641C02"/>
    <w:rsid w:val="2B6F681F"/>
    <w:rsid w:val="2B8302EB"/>
    <w:rsid w:val="2B893BA3"/>
    <w:rsid w:val="2BC82480"/>
    <w:rsid w:val="2BEB375B"/>
    <w:rsid w:val="2C1A5D63"/>
    <w:rsid w:val="2C2907BF"/>
    <w:rsid w:val="2C80477B"/>
    <w:rsid w:val="2CA73FE3"/>
    <w:rsid w:val="2CCE5273"/>
    <w:rsid w:val="2CD46AFB"/>
    <w:rsid w:val="2CE15438"/>
    <w:rsid w:val="2D812190"/>
    <w:rsid w:val="2DA94150"/>
    <w:rsid w:val="2E1176AC"/>
    <w:rsid w:val="2E232CF9"/>
    <w:rsid w:val="2ECB7AE0"/>
    <w:rsid w:val="2F0E5D72"/>
    <w:rsid w:val="2F235269"/>
    <w:rsid w:val="2F322289"/>
    <w:rsid w:val="2F4B1C2D"/>
    <w:rsid w:val="303917A0"/>
    <w:rsid w:val="30571C73"/>
    <w:rsid w:val="30943D7F"/>
    <w:rsid w:val="309C7501"/>
    <w:rsid w:val="313A0372"/>
    <w:rsid w:val="316C26E3"/>
    <w:rsid w:val="31B6217A"/>
    <w:rsid w:val="32305666"/>
    <w:rsid w:val="328D4D87"/>
    <w:rsid w:val="32EC2013"/>
    <w:rsid w:val="33021368"/>
    <w:rsid w:val="33133DBA"/>
    <w:rsid w:val="33491F36"/>
    <w:rsid w:val="33883009"/>
    <w:rsid w:val="346C2BDC"/>
    <w:rsid w:val="34991CB3"/>
    <w:rsid w:val="34E63221"/>
    <w:rsid w:val="34EA3595"/>
    <w:rsid w:val="34F31159"/>
    <w:rsid w:val="34F61BA3"/>
    <w:rsid w:val="35684E72"/>
    <w:rsid w:val="35D34EB8"/>
    <w:rsid w:val="361A0DD1"/>
    <w:rsid w:val="363A75C1"/>
    <w:rsid w:val="36950F43"/>
    <w:rsid w:val="36F13745"/>
    <w:rsid w:val="37235D83"/>
    <w:rsid w:val="386C1CFB"/>
    <w:rsid w:val="388C38C8"/>
    <w:rsid w:val="388E6306"/>
    <w:rsid w:val="3891144C"/>
    <w:rsid w:val="38E40513"/>
    <w:rsid w:val="393853EE"/>
    <w:rsid w:val="39474FFC"/>
    <w:rsid w:val="39A12E64"/>
    <w:rsid w:val="39E551C2"/>
    <w:rsid w:val="3A985F9F"/>
    <w:rsid w:val="3ACA79CB"/>
    <w:rsid w:val="3ACD696C"/>
    <w:rsid w:val="3B1A6BBF"/>
    <w:rsid w:val="3B1D04C9"/>
    <w:rsid w:val="3B3850C1"/>
    <w:rsid w:val="3B564493"/>
    <w:rsid w:val="3B68666D"/>
    <w:rsid w:val="3B924465"/>
    <w:rsid w:val="3BA94452"/>
    <w:rsid w:val="3BC526E3"/>
    <w:rsid w:val="3BE64D6A"/>
    <w:rsid w:val="3C6C7288"/>
    <w:rsid w:val="3C8B2EA4"/>
    <w:rsid w:val="3CC85F33"/>
    <w:rsid w:val="3D2A61C0"/>
    <w:rsid w:val="3D2A699D"/>
    <w:rsid w:val="3D6F2596"/>
    <w:rsid w:val="3DC16634"/>
    <w:rsid w:val="3E1A5B77"/>
    <w:rsid w:val="3E3D115C"/>
    <w:rsid w:val="3E816ACA"/>
    <w:rsid w:val="3EBA3F51"/>
    <w:rsid w:val="3ED90D52"/>
    <w:rsid w:val="3EFB0DA2"/>
    <w:rsid w:val="3F152563"/>
    <w:rsid w:val="3F4371E9"/>
    <w:rsid w:val="3F5B25E2"/>
    <w:rsid w:val="3FBE5D52"/>
    <w:rsid w:val="3FEB354A"/>
    <w:rsid w:val="40273EB3"/>
    <w:rsid w:val="403917EB"/>
    <w:rsid w:val="404F7A6B"/>
    <w:rsid w:val="405326DF"/>
    <w:rsid w:val="40705D5D"/>
    <w:rsid w:val="40C765F3"/>
    <w:rsid w:val="41071BAC"/>
    <w:rsid w:val="41256FB7"/>
    <w:rsid w:val="4154071D"/>
    <w:rsid w:val="42263FAE"/>
    <w:rsid w:val="42C843A0"/>
    <w:rsid w:val="42F20CDD"/>
    <w:rsid w:val="43776349"/>
    <w:rsid w:val="43A46A86"/>
    <w:rsid w:val="43EE5166"/>
    <w:rsid w:val="44B2766E"/>
    <w:rsid w:val="44C82F04"/>
    <w:rsid w:val="453D01E5"/>
    <w:rsid w:val="45834801"/>
    <w:rsid w:val="458F4D24"/>
    <w:rsid w:val="459C5BD8"/>
    <w:rsid w:val="45B01F58"/>
    <w:rsid w:val="45ED56E7"/>
    <w:rsid w:val="45F60A50"/>
    <w:rsid w:val="465B1E86"/>
    <w:rsid w:val="46C6208F"/>
    <w:rsid w:val="47D03CF6"/>
    <w:rsid w:val="482C6CD1"/>
    <w:rsid w:val="4853345A"/>
    <w:rsid w:val="48845C84"/>
    <w:rsid w:val="489C44D3"/>
    <w:rsid w:val="48F82FC3"/>
    <w:rsid w:val="490D3059"/>
    <w:rsid w:val="49500FEB"/>
    <w:rsid w:val="4982678C"/>
    <w:rsid w:val="49F32E1B"/>
    <w:rsid w:val="49FF1C1E"/>
    <w:rsid w:val="4A0B7057"/>
    <w:rsid w:val="4A280667"/>
    <w:rsid w:val="4A511B6E"/>
    <w:rsid w:val="4A7C4548"/>
    <w:rsid w:val="4B5B5B93"/>
    <w:rsid w:val="4B901389"/>
    <w:rsid w:val="4C2C30BE"/>
    <w:rsid w:val="4C3A2A9D"/>
    <w:rsid w:val="4C5D2EB7"/>
    <w:rsid w:val="4C8D7B0E"/>
    <w:rsid w:val="4CBF03D6"/>
    <w:rsid w:val="4D014AEF"/>
    <w:rsid w:val="4D513299"/>
    <w:rsid w:val="4DA22392"/>
    <w:rsid w:val="4DBE5704"/>
    <w:rsid w:val="4E9A7FF9"/>
    <w:rsid w:val="4EDF702E"/>
    <w:rsid w:val="4EF148C1"/>
    <w:rsid w:val="4F047884"/>
    <w:rsid w:val="4F813AF7"/>
    <w:rsid w:val="4FBD6EC5"/>
    <w:rsid w:val="4FBF1AB2"/>
    <w:rsid w:val="50150A2D"/>
    <w:rsid w:val="50416453"/>
    <w:rsid w:val="504E5AC6"/>
    <w:rsid w:val="505076EF"/>
    <w:rsid w:val="505F3BD5"/>
    <w:rsid w:val="508A0B34"/>
    <w:rsid w:val="513C5648"/>
    <w:rsid w:val="51736098"/>
    <w:rsid w:val="51B14BED"/>
    <w:rsid w:val="51B42F14"/>
    <w:rsid w:val="51EE252C"/>
    <w:rsid w:val="51FA3D86"/>
    <w:rsid w:val="52022698"/>
    <w:rsid w:val="526965AA"/>
    <w:rsid w:val="531E2281"/>
    <w:rsid w:val="54175BE1"/>
    <w:rsid w:val="5445166E"/>
    <w:rsid w:val="54632332"/>
    <w:rsid w:val="54944CE7"/>
    <w:rsid w:val="55436523"/>
    <w:rsid w:val="55CA20E9"/>
    <w:rsid w:val="55ED23C7"/>
    <w:rsid w:val="56196A30"/>
    <w:rsid w:val="563C5184"/>
    <w:rsid w:val="565631F5"/>
    <w:rsid w:val="56C44CD3"/>
    <w:rsid w:val="57A83C8B"/>
    <w:rsid w:val="581B09AF"/>
    <w:rsid w:val="582E227B"/>
    <w:rsid w:val="58983966"/>
    <w:rsid w:val="589E3B99"/>
    <w:rsid w:val="589F3533"/>
    <w:rsid w:val="593261D2"/>
    <w:rsid w:val="59423730"/>
    <w:rsid w:val="595A6E9E"/>
    <w:rsid w:val="5A8F1C82"/>
    <w:rsid w:val="5AA04D8D"/>
    <w:rsid w:val="5AFF5DE6"/>
    <w:rsid w:val="5B4026E8"/>
    <w:rsid w:val="5B482E24"/>
    <w:rsid w:val="5C9A4DB7"/>
    <w:rsid w:val="5D1A39EE"/>
    <w:rsid w:val="5D5C7688"/>
    <w:rsid w:val="5E224225"/>
    <w:rsid w:val="5E2732CD"/>
    <w:rsid w:val="5E336F39"/>
    <w:rsid w:val="60205F90"/>
    <w:rsid w:val="608E2F6C"/>
    <w:rsid w:val="60EC3C37"/>
    <w:rsid w:val="61542874"/>
    <w:rsid w:val="61A058F7"/>
    <w:rsid w:val="62082A4E"/>
    <w:rsid w:val="623C28E2"/>
    <w:rsid w:val="62D53BF4"/>
    <w:rsid w:val="632579DD"/>
    <w:rsid w:val="63483DC6"/>
    <w:rsid w:val="63610183"/>
    <w:rsid w:val="637947A5"/>
    <w:rsid w:val="63D0005D"/>
    <w:rsid w:val="64644F1D"/>
    <w:rsid w:val="64B7605C"/>
    <w:rsid w:val="652B096E"/>
    <w:rsid w:val="658B678B"/>
    <w:rsid w:val="65E73B66"/>
    <w:rsid w:val="66131984"/>
    <w:rsid w:val="66785612"/>
    <w:rsid w:val="66E16576"/>
    <w:rsid w:val="66E33C2D"/>
    <w:rsid w:val="67427945"/>
    <w:rsid w:val="68233C28"/>
    <w:rsid w:val="68282B6E"/>
    <w:rsid w:val="68480E87"/>
    <w:rsid w:val="6906197A"/>
    <w:rsid w:val="692A17F3"/>
    <w:rsid w:val="69C27972"/>
    <w:rsid w:val="6A2E4954"/>
    <w:rsid w:val="6A6E396D"/>
    <w:rsid w:val="6AC9421D"/>
    <w:rsid w:val="6AD94F47"/>
    <w:rsid w:val="6C4C2667"/>
    <w:rsid w:val="6CDA49A3"/>
    <w:rsid w:val="6CF36133"/>
    <w:rsid w:val="6D044CB7"/>
    <w:rsid w:val="6D2C0194"/>
    <w:rsid w:val="6DD1076A"/>
    <w:rsid w:val="6DDE3DAF"/>
    <w:rsid w:val="6E1735DC"/>
    <w:rsid w:val="6E2211D6"/>
    <w:rsid w:val="6F1206C7"/>
    <w:rsid w:val="6FBA4BA1"/>
    <w:rsid w:val="6FC330E2"/>
    <w:rsid w:val="70E13200"/>
    <w:rsid w:val="710808ED"/>
    <w:rsid w:val="714420CD"/>
    <w:rsid w:val="715F4C2D"/>
    <w:rsid w:val="724530CF"/>
    <w:rsid w:val="727971D3"/>
    <w:rsid w:val="72CB7F46"/>
    <w:rsid w:val="73121CB7"/>
    <w:rsid w:val="745C121D"/>
    <w:rsid w:val="74BC3FA6"/>
    <w:rsid w:val="74FE041B"/>
    <w:rsid w:val="755C4C37"/>
    <w:rsid w:val="761A2E8D"/>
    <w:rsid w:val="768D7CD7"/>
    <w:rsid w:val="774D1291"/>
    <w:rsid w:val="77647371"/>
    <w:rsid w:val="776C25E5"/>
    <w:rsid w:val="776C3E9D"/>
    <w:rsid w:val="77B7237F"/>
    <w:rsid w:val="78271104"/>
    <w:rsid w:val="784B7472"/>
    <w:rsid w:val="787C3061"/>
    <w:rsid w:val="7962750F"/>
    <w:rsid w:val="796B0021"/>
    <w:rsid w:val="79701A60"/>
    <w:rsid w:val="797218E2"/>
    <w:rsid w:val="7A4205D3"/>
    <w:rsid w:val="7AB05BBC"/>
    <w:rsid w:val="7AB44E97"/>
    <w:rsid w:val="7AB94AC3"/>
    <w:rsid w:val="7AE36910"/>
    <w:rsid w:val="7B940404"/>
    <w:rsid w:val="7BF8597E"/>
    <w:rsid w:val="7C12395E"/>
    <w:rsid w:val="7C14711B"/>
    <w:rsid w:val="7C312516"/>
    <w:rsid w:val="7C45431D"/>
    <w:rsid w:val="7C4A144B"/>
    <w:rsid w:val="7C5E2D26"/>
    <w:rsid w:val="7C963B24"/>
    <w:rsid w:val="7D4C1C46"/>
    <w:rsid w:val="7DB44FBE"/>
    <w:rsid w:val="7DC64605"/>
    <w:rsid w:val="7DDD0501"/>
    <w:rsid w:val="7E2653BA"/>
    <w:rsid w:val="7E2B63E7"/>
    <w:rsid w:val="7E8B79FF"/>
    <w:rsid w:val="7E935AFB"/>
    <w:rsid w:val="7E9C3271"/>
    <w:rsid w:val="7EC65AAB"/>
    <w:rsid w:val="7F4610EC"/>
    <w:rsid w:val="7F50759A"/>
    <w:rsid w:val="7FA522BC"/>
    <w:rsid w:val="7FC90A85"/>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3"/>
    <w:link w:val="22"/>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3"/>
    <w:link w:val="23"/>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4"/>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link w:val="53"/>
    <w:semiHidden/>
    <w:unhideWhenUsed/>
    <w:qFormat/>
    <w:uiPriority w:val="99"/>
    <w:pPr>
      <w:spacing w:line="240" w:lineRule="auto"/>
    </w:pPr>
    <w:rPr>
      <w:szCs w:val="20"/>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8"/>
    <w:semiHidden/>
    <w:unhideWhenUsed/>
    <w:qFormat/>
    <w:uiPriority w:val="99"/>
    <w:rPr>
      <w:sz w:val="18"/>
      <w:szCs w:val="18"/>
      <w:lang w:val="zh-CN"/>
    </w:rPr>
  </w:style>
  <w:style w:type="paragraph" w:styleId="13">
    <w:name w:val="footer"/>
    <w:basedOn w:val="1"/>
    <w:link w:val="27"/>
    <w:unhideWhenUsed/>
    <w:qFormat/>
    <w:uiPriority w:val="99"/>
    <w:pPr>
      <w:tabs>
        <w:tab w:val="center" w:pos="4153"/>
        <w:tab w:val="right" w:pos="8306"/>
      </w:tabs>
      <w:snapToGrid w:val="0"/>
    </w:pPr>
    <w:rPr>
      <w:sz w:val="18"/>
      <w:szCs w:val="18"/>
      <w:lang w:val="zh-CN"/>
    </w:rPr>
  </w:style>
  <w:style w:type="paragraph" w:styleId="14">
    <w:name w:val="header"/>
    <w:basedOn w:val="1"/>
    <w:link w:val="25"/>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8"/>
    <w:next w:val="8"/>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标题 1 Char"/>
    <w:link w:val="2"/>
    <w:qFormat/>
    <w:uiPriority w:val="0"/>
    <w:rPr>
      <w:rFonts w:ascii="Helvetica" w:hAnsi="Helvetica" w:eastAsia="MS Mincho" w:cs="Times New Roman"/>
      <w:b/>
      <w:bCs/>
      <w:kern w:val="32"/>
      <w:sz w:val="28"/>
      <w:szCs w:val="32"/>
      <w:lang w:val="zh-CN" w:eastAsia="en-US"/>
    </w:rPr>
  </w:style>
  <w:style w:type="character" w:customStyle="1" w:styleId="23">
    <w:name w:val="标题 2 Char"/>
    <w:link w:val="4"/>
    <w:qFormat/>
    <w:uiPriority w:val="0"/>
    <w:rPr>
      <w:rFonts w:ascii="Helvetica" w:hAnsi="Helvetica" w:eastAsia="MS Mincho" w:cs="Times New Roman"/>
      <w:b/>
      <w:bCs/>
      <w:iCs/>
      <w:kern w:val="0"/>
      <w:sz w:val="20"/>
      <w:szCs w:val="28"/>
      <w:lang w:val="zh-CN" w:eastAsia="en-US"/>
    </w:rPr>
  </w:style>
  <w:style w:type="character" w:customStyle="1" w:styleId="24">
    <w:name w:val="正文文本 Char"/>
    <w:link w:val="3"/>
    <w:qFormat/>
    <w:uiPriority w:val="0"/>
    <w:rPr>
      <w:rFonts w:ascii="Times New Roman" w:hAnsi="Times New Roman" w:eastAsia="MS Mincho" w:cs="Times New Roman"/>
      <w:kern w:val="0"/>
      <w:sz w:val="20"/>
      <w:szCs w:val="24"/>
      <w:lang w:val="zh-CN" w:eastAsia="en-US"/>
    </w:rPr>
  </w:style>
  <w:style w:type="character" w:customStyle="1" w:styleId="25">
    <w:name w:val="页眉 Char"/>
    <w:link w:val="14"/>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页脚 Char"/>
    <w:link w:val="13"/>
    <w:qFormat/>
    <w:uiPriority w:val="99"/>
    <w:rPr>
      <w:rFonts w:ascii="Times New Roman" w:hAnsi="Times New Roman" w:eastAsia="Times New Roman" w:cs="Times New Roman"/>
      <w:kern w:val="0"/>
      <w:sz w:val="18"/>
      <w:szCs w:val="18"/>
      <w:lang w:eastAsia="en-US"/>
    </w:rPr>
  </w:style>
  <w:style w:type="character" w:customStyle="1" w:styleId="28">
    <w:name w:val="批注框文本 Char"/>
    <w:link w:val="12"/>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7"/>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5"/>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8"/>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3</Pages>
  <Words>223</Words>
  <Characters>1272</Characters>
  <Lines>10</Lines>
  <Paragraphs>2</Paragraphs>
  <TotalTime>4</TotalTime>
  <ScaleCrop>false</ScaleCrop>
  <LinksUpToDate>false</LinksUpToDate>
  <CharactersWithSpaces>1493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Wenhao Liu</dc:creator>
  <cp:lastModifiedBy>ZTE(Liu Wenhao)</cp:lastModifiedBy>
  <cp:lastPrinted>2015-02-02T11:17:00Z</cp:lastPrinted>
  <dcterms:modified xsi:type="dcterms:W3CDTF">2022-01-10T08:10:09Z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